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79356">
      <w:pPr>
        <w:tabs>
          <w:tab w:val="left" w:pos="5640"/>
        </w:tabs>
        <w:spacing w:line="240" w:lineRule="auto"/>
        <w:jc w:val="both"/>
        <w:rPr>
          <w:rFonts w:ascii="Arial" w:hAnsi="Arial" w:cs="Arial"/>
          <w:sz w:val="24"/>
          <w:szCs w:val="24"/>
        </w:rPr>
      </w:pPr>
      <w:r>
        <w:rPr>
          <w:rFonts w:ascii="Arial" w:hAnsi="Arial" w:cs="Arial"/>
          <w:sz w:val="24"/>
          <w:szCs w:val="24"/>
        </w:rPr>
        <w:t>Polazeći od osnovnih ljudskih prava građana Pljevalja i zagađenja vaduha u Pljevljima  u periodu od 10.12.2025.godine od 15.12.2025.godine, kao građani opštine Pljevlja izloženi zagađenu, a van svakog političkog  ili drugog nedozvoljenog cilja, podnosimo</w:t>
      </w:r>
    </w:p>
    <w:p w14:paraId="3E20C9BA">
      <w:pPr>
        <w:tabs>
          <w:tab w:val="left" w:pos="5640"/>
        </w:tabs>
        <w:spacing w:line="240" w:lineRule="auto"/>
        <w:jc w:val="center"/>
        <w:rPr>
          <w:rFonts w:ascii="Arial" w:hAnsi="Arial" w:cs="Arial"/>
          <w:b/>
          <w:sz w:val="24"/>
          <w:szCs w:val="24"/>
        </w:rPr>
      </w:pPr>
      <w:r>
        <w:rPr>
          <w:rFonts w:ascii="Arial" w:hAnsi="Arial" w:cs="Arial"/>
          <w:b/>
          <w:sz w:val="24"/>
          <w:szCs w:val="24"/>
        </w:rPr>
        <w:t>OSNOVNOM DRŽAVNOM TUŽILAŠTVU PLJEVLJA</w:t>
      </w:r>
    </w:p>
    <w:p w14:paraId="5D0F1534">
      <w:pPr>
        <w:tabs>
          <w:tab w:val="left" w:pos="5640"/>
        </w:tabs>
        <w:spacing w:after="120" w:line="240" w:lineRule="auto"/>
        <w:jc w:val="center"/>
        <w:rPr>
          <w:rFonts w:ascii="Arial" w:hAnsi="Arial" w:cs="Arial"/>
          <w:sz w:val="24"/>
          <w:szCs w:val="24"/>
        </w:rPr>
      </w:pPr>
      <w:r>
        <w:rPr>
          <w:rFonts w:ascii="Arial" w:hAnsi="Arial" w:cs="Arial"/>
          <w:sz w:val="24"/>
          <w:szCs w:val="24"/>
        </w:rPr>
        <w:t>kao mjesno nadležnom po mjestu izvršenja krivičnih djela</w:t>
      </w:r>
    </w:p>
    <w:p w14:paraId="09C1B5C6">
      <w:pPr>
        <w:tabs>
          <w:tab w:val="left" w:pos="5640"/>
        </w:tabs>
        <w:spacing w:line="240" w:lineRule="auto"/>
        <w:jc w:val="center"/>
        <w:rPr>
          <w:rFonts w:ascii="Arial" w:hAnsi="Arial" w:cs="Arial"/>
          <w:b/>
          <w:sz w:val="24"/>
          <w:szCs w:val="24"/>
        </w:rPr>
      </w:pPr>
      <w:r>
        <w:rPr>
          <w:rFonts w:ascii="Arial" w:hAnsi="Arial" w:cs="Arial"/>
          <w:b/>
          <w:sz w:val="24"/>
          <w:szCs w:val="24"/>
        </w:rPr>
        <w:t>KRIVIČNU PRIJAVU</w:t>
      </w:r>
    </w:p>
    <w:p w14:paraId="1D039B9C">
      <w:pPr>
        <w:tabs>
          <w:tab w:val="left" w:pos="5640"/>
        </w:tabs>
        <w:spacing w:line="240" w:lineRule="auto"/>
        <w:jc w:val="both"/>
        <w:rPr>
          <w:rFonts w:ascii="Arial" w:hAnsi="Arial" w:cs="Arial"/>
          <w:sz w:val="24"/>
          <w:szCs w:val="24"/>
        </w:rPr>
      </w:pPr>
      <w:r>
        <w:rPr>
          <w:rFonts w:ascii="Arial" w:hAnsi="Arial" w:cs="Arial"/>
          <w:sz w:val="24"/>
          <w:szCs w:val="24"/>
        </w:rPr>
        <w:t xml:space="preserve">   Protiv:</w:t>
      </w:r>
    </w:p>
    <w:p w14:paraId="7D030DB9">
      <w:pPr>
        <w:pStyle w:val="4"/>
        <w:numPr>
          <w:ilvl w:val="0"/>
          <w:numId w:val="1"/>
        </w:numPr>
        <w:tabs>
          <w:tab w:val="left" w:pos="5640"/>
        </w:tabs>
        <w:spacing w:line="240" w:lineRule="auto"/>
        <w:jc w:val="both"/>
        <w:rPr>
          <w:rFonts w:ascii="Arial" w:hAnsi="Arial" w:cs="Arial"/>
          <w:sz w:val="24"/>
          <w:szCs w:val="24"/>
        </w:rPr>
      </w:pPr>
      <w:r>
        <w:rPr>
          <w:rFonts w:ascii="Arial" w:hAnsi="Arial" w:cs="Arial"/>
          <w:b/>
          <w:sz w:val="24"/>
          <w:szCs w:val="24"/>
        </w:rPr>
        <w:t>Ljubiše Jankovića</w:t>
      </w:r>
      <w:r>
        <w:rPr>
          <w:rFonts w:ascii="Arial" w:hAnsi="Arial" w:cs="Arial"/>
          <w:sz w:val="24"/>
          <w:szCs w:val="24"/>
        </w:rPr>
        <w:t xml:space="preserve"> – Menadžera projekta ekološke rekonstrukcije TEP</w:t>
      </w:r>
    </w:p>
    <w:p w14:paraId="3E5D5E7C">
      <w:pPr>
        <w:pStyle w:val="4"/>
        <w:numPr>
          <w:ilvl w:val="0"/>
          <w:numId w:val="1"/>
        </w:numPr>
        <w:tabs>
          <w:tab w:val="left" w:pos="5640"/>
        </w:tabs>
        <w:spacing w:line="240" w:lineRule="auto"/>
        <w:jc w:val="both"/>
        <w:rPr>
          <w:rFonts w:ascii="Arial" w:hAnsi="Arial" w:cs="Arial"/>
          <w:sz w:val="24"/>
          <w:szCs w:val="24"/>
        </w:rPr>
      </w:pPr>
      <w:r>
        <w:rPr>
          <w:rFonts w:ascii="Arial" w:hAnsi="Arial" w:cs="Arial"/>
          <w:b/>
          <w:sz w:val="24"/>
          <w:szCs w:val="24"/>
        </w:rPr>
        <w:t>Slavenka Drobnjaka</w:t>
      </w:r>
      <w:r>
        <w:rPr>
          <w:rFonts w:ascii="Arial" w:hAnsi="Arial" w:cs="Arial"/>
          <w:sz w:val="24"/>
          <w:szCs w:val="24"/>
        </w:rPr>
        <w:t xml:space="preserve"> – Menadžera projekta adaptacije kotla TEP</w:t>
      </w:r>
    </w:p>
    <w:p w14:paraId="70018DC8">
      <w:pPr>
        <w:pStyle w:val="4"/>
        <w:numPr>
          <w:ilvl w:val="0"/>
          <w:numId w:val="1"/>
        </w:numPr>
        <w:tabs>
          <w:tab w:val="left" w:pos="5640"/>
        </w:tabs>
        <w:spacing w:line="240" w:lineRule="auto"/>
        <w:jc w:val="both"/>
        <w:rPr>
          <w:rFonts w:ascii="Arial" w:hAnsi="Arial" w:cs="Arial"/>
          <w:sz w:val="24"/>
          <w:szCs w:val="24"/>
        </w:rPr>
      </w:pPr>
      <w:r>
        <w:rPr>
          <w:rFonts w:ascii="Arial" w:hAnsi="Arial" w:cs="Arial"/>
          <w:b/>
          <w:sz w:val="24"/>
          <w:szCs w:val="24"/>
        </w:rPr>
        <w:t xml:space="preserve">Olge Radulović </w:t>
      </w:r>
      <w:r>
        <w:rPr>
          <w:rFonts w:ascii="Arial" w:hAnsi="Arial" w:cs="Arial"/>
          <w:sz w:val="24"/>
          <w:szCs w:val="24"/>
        </w:rPr>
        <w:t>– Menadžera projekta adaptacije dimnjaka TEP</w:t>
      </w:r>
    </w:p>
    <w:p w14:paraId="5C545672">
      <w:pPr>
        <w:pStyle w:val="4"/>
        <w:numPr>
          <w:ilvl w:val="0"/>
          <w:numId w:val="1"/>
        </w:numPr>
        <w:tabs>
          <w:tab w:val="left" w:pos="5640"/>
        </w:tabs>
        <w:spacing w:line="240" w:lineRule="auto"/>
        <w:jc w:val="both"/>
        <w:rPr>
          <w:rFonts w:ascii="Arial" w:hAnsi="Arial" w:cs="Arial"/>
          <w:sz w:val="24"/>
          <w:szCs w:val="24"/>
        </w:rPr>
      </w:pPr>
      <w:r>
        <w:rPr>
          <w:rFonts w:ascii="Arial" w:hAnsi="Arial" w:cs="Arial"/>
          <w:b/>
          <w:sz w:val="24"/>
          <w:szCs w:val="24"/>
        </w:rPr>
        <w:t xml:space="preserve">Mira Vračara </w:t>
      </w:r>
      <w:r>
        <w:rPr>
          <w:rFonts w:ascii="Arial" w:hAnsi="Arial" w:cs="Arial"/>
          <w:sz w:val="24"/>
          <w:szCs w:val="24"/>
        </w:rPr>
        <w:t>– Izvršnog rukovodioca FC Proizvodnja EPCG AD</w:t>
      </w:r>
    </w:p>
    <w:p w14:paraId="5AF56B63">
      <w:pPr>
        <w:pStyle w:val="4"/>
        <w:numPr>
          <w:ilvl w:val="0"/>
          <w:numId w:val="1"/>
        </w:numPr>
        <w:tabs>
          <w:tab w:val="left" w:pos="5640"/>
        </w:tabs>
        <w:spacing w:line="240" w:lineRule="auto"/>
        <w:jc w:val="both"/>
        <w:rPr>
          <w:rFonts w:ascii="Arial" w:hAnsi="Arial" w:cs="Arial"/>
          <w:sz w:val="24"/>
          <w:szCs w:val="24"/>
        </w:rPr>
      </w:pPr>
      <w:r>
        <w:rPr>
          <w:rFonts w:ascii="Arial" w:hAnsi="Arial" w:cs="Arial"/>
          <w:b/>
          <w:sz w:val="24"/>
          <w:szCs w:val="24"/>
        </w:rPr>
        <w:t xml:space="preserve">Ljubiše Đurkovića </w:t>
      </w:r>
      <w:r>
        <w:rPr>
          <w:rFonts w:ascii="Arial" w:hAnsi="Arial" w:cs="Arial"/>
          <w:sz w:val="24"/>
          <w:szCs w:val="24"/>
        </w:rPr>
        <w:t>– Tehničkog direktora  EPCG AD</w:t>
      </w:r>
    </w:p>
    <w:p w14:paraId="69EE32CC">
      <w:pPr>
        <w:pStyle w:val="4"/>
        <w:numPr>
          <w:ilvl w:val="0"/>
          <w:numId w:val="1"/>
        </w:numPr>
        <w:tabs>
          <w:tab w:val="left" w:pos="5640"/>
        </w:tabs>
        <w:spacing w:line="240" w:lineRule="auto"/>
        <w:jc w:val="both"/>
        <w:rPr>
          <w:rFonts w:ascii="Arial" w:hAnsi="Arial" w:cs="Arial"/>
          <w:sz w:val="24"/>
          <w:szCs w:val="24"/>
        </w:rPr>
      </w:pPr>
      <w:r>
        <w:rPr>
          <w:rFonts w:ascii="Arial" w:hAnsi="Arial" w:cs="Arial"/>
          <w:b/>
          <w:sz w:val="24"/>
          <w:szCs w:val="24"/>
        </w:rPr>
        <w:t xml:space="preserve">Bojana Đordana </w:t>
      </w:r>
      <w:r>
        <w:rPr>
          <w:rFonts w:ascii="Arial" w:hAnsi="Arial" w:cs="Arial"/>
          <w:sz w:val="24"/>
          <w:szCs w:val="24"/>
        </w:rPr>
        <w:t>– Vršioca dužnosti Izvršnog direktora EPCG AD</w:t>
      </w:r>
    </w:p>
    <w:p w14:paraId="7FB90535">
      <w:pPr>
        <w:pStyle w:val="4"/>
        <w:tabs>
          <w:tab w:val="left" w:pos="5640"/>
        </w:tabs>
        <w:spacing w:line="240" w:lineRule="auto"/>
        <w:jc w:val="both"/>
        <w:rPr>
          <w:rFonts w:ascii="Arial" w:hAnsi="Arial" w:cs="Arial"/>
          <w:sz w:val="24"/>
          <w:szCs w:val="24"/>
        </w:rPr>
      </w:pPr>
      <w:r>
        <w:rPr>
          <w:rFonts w:ascii="Arial" w:hAnsi="Arial" w:cs="Arial"/>
          <w:sz w:val="24"/>
          <w:szCs w:val="24"/>
        </w:rPr>
        <w:t>i drugih odgovornih lica u EPCG AD, u saizvršilaštvu</w:t>
      </w:r>
    </w:p>
    <w:p w14:paraId="4FFF72AA">
      <w:pPr>
        <w:pStyle w:val="4"/>
        <w:tabs>
          <w:tab w:val="left" w:pos="5640"/>
        </w:tabs>
        <w:spacing w:line="240" w:lineRule="auto"/>
        <w:jc w:val="both"/>
        <w:rPr>
          <w:rFonts w:ascii="Arial" w:hAnsi="Arial" w:cs="Arial"/>
          <w:sz w:val="24"/>
          <w:szCs w:val="24"/>
        </w:rPr>
      </w:pPr>
    </w:p>
    <w:p w14:paraId="3A7BE011">
      <w:pPr>
        <w:pStyle w:val="4"/>
        <w:tabs>
          <w:tab w:val="left" w:pos="5640"/>
        </w:tabs>
        <w:spacing w:line="240" w:lineRule="auto"/>
        <w:jc w:val="both"/>
        <w:rPr>
          <w:rFonts w:ascii="Arial" w:hAnsi="Arial" w:cs="Arial"/>
          <w:sz w:val="24"/>
          <w:szCs w:val="24"/>
        </w:rPr>
      </w:pPr>
      <w:r>
        <w:rPr>
          <w:rFonts w:ascii="Arial" w:hAnsi="Arial" w:cs="Arial"/>
          <w:sz w:val="24"/>
          <w:szCs w:val="24"/>
        </w:rPr>
        <w:t>zbog postojanja osnovane sumnje da su počinili krivično dijelo iz člana 414 Krivičnog zakonika – falsifikovanje  službene isprave, a u vezi sa krivičnim djelima iz člana  305 Krivičnog zakonika – Protivpravna izgradnja, stavljanje u pogon i rad objekata i postrojenja koja zagađuju životnu sredinu  i člana 272  Krivičnog zakonika – Zloupotreba položaja u privrednom poslovanju</w:t>
      </w:r>
    </w:p>
    <w:p w14:paraId="5263B528">
      <w:pPr>
        <w:tabs>
          <w:tab w:val="left" w:pos="5640"/>
        </w:tabs>
        <w:spacing w:line="240" w:lineRule="auto"/>
        <w:jc w:val="both"/>
        <w:rPr>
          <w:rFonts w:ascii="Arial" w:hAnsi="Arial" w:cs="Arial"/>
          <w:sz w:val="24"/>
          <w:szCs w:val="24"/>
        </w:rPr>
      </w:pPr>
      <w:r>
        <w:rPr>
          <w:rFonts w:ascii="Arial" w:hAnsi="Arial" w:cs="Arial"/>
          <w:sz w:val="24"/>
          <w:szCs w:val="24"/>
        </w:rPr>
        <w:t xml:space="preserve">   Dana 28.11.2025. godine navedena lica su svojim potpisom ovjerila kao istinit službeni akt AD Elektroprivrede Crne Gore br.10-00-52656 </w:t>
      </w:r>
      <w:r>
        <w:rPr>
          <w:rFonts w:ascii="Arial" w:hAnsi="Arial" w:cs="Arial"/>
          <w:b/>
          <w:i/>
          <w:sz w:val="24"/>
          <w:szCs w:val="24"/>
        </w:rPr>
        <w:t>Saglasnost za puštanje dijela postrojenja TE “Pljevlja” – Pljevlja u probni rad</w:t>
      </w:r>
      <w:r>
        <w:rPr>
          <w:rFonts w:ascii="Arial" w:hAnsi="Arial" w:cs="Arial"/>
          <w:sz w:val="24"/>
          <w:szCs w:val="24"/>
        </w:rPr>
        <w:t>, iako ovaj akt u sebi sadrži neistinite podatke, za koje su potpisnici znali da su neistiniti u momentu izvršenja krivičnog dijela, i to:</w:t>
      </w:r>
    </w:p>
    <w:p w14:paraId="7DF124E2">
      <w:pPr>
        <w:pStyle w:val="4"/>
        <w:numPr>
          <w:ilvl w:val="0"/>
          <w:numId w:val="2"/>
        </w:numPr>
        <w:tabs>
          <w:tab w:val="left" w:pos="5640"/>
        </w:tabs>
        <w:spacing w:line="240" w:lineRule="auto"/>
        <w:jc w:val="both"/>
        <w:rPr>
          <w:rFonts w:ascii="Arial" w:hAnsi="Arial" w:cs="Arial"/>
          <w:sz w:val="24"/>
          <w:szCs w:val="24"/>
        </w:rPr>
      </w:pPr>
      <w:r>
        <w:rPr>
          <w:rFonts w:ascii="Arial" w:hAnsi="Arial" w:cs="Arial"/>
          <w:sz w:val="24"/>
          <w:szCs w:val="24"/>
        </w:rPr>
        <w:t>Da objekat ima ugrađene instalacije, opremu i postrojenja koje služe tehnološkom procesu djelatnosti u skladu sa revidovanim glavnim projektom rekonstrukcije</w:t>
      </w:r>
    </w:p>
    <w:p w14:paraId="7BDDAC18">
      <w:pPr>
        <w:pStyle w:val="4"/>
        <w:numPr>
          <w:ilvl w:val="0"/>
          <w:numId w:val="2"/>
        </w:numPr>
        <w:tabs>
          <w:tab w:val="left" w:pos="5640"/>
        </w:tabs>
        <w:spacing w:line="240" w:lineRule="auto"/>
        <w:jc w:val="both"/>
        <w:rPr>
          <w:rFonts w:ascii="Arial" w:hAnsi="Arial" w:cs="Arial"/>
          <w:sz w:val="24"/>
          <w:szCs w:val="24"/>
        </w:rPr>
      </w:pPr>
      <w:r>
        <w:rPr>
          <w:rFonts w:ascii="Arial" w:hAnsi="Arial" w:cs="Arial"/>
          <w:sz w:val="24"/>
          <w:szCs w:val="24"/>
        </w:rPr>
        <w:t>Da je u realizaciji projekta Ekološka rekonstrukcija izvršena isporuka i montaža opreme predviđene revidovanim Gavnim projektom ekološke rekonstrukcije</w:t>
      </w:r>
    </w:p>
    <w:p w14:paraId="3BC7FDB3">
      <w:pPr>
        <w:pStyle w:val="4"/>
        <w:numPr>
          <w:ilvl w:val="0"/>
          <w:numId w:val="2"/>
        </w:numPr>
        <w:tabs>
          <w:tab w:val="left" w:pos="5640"/>
        </w:tabs>
        <w:spacing w:line="240" w:lineRule="auto"/>
        <w:jc w:val="both"/>
        <w:rPr>
          <w:rFonts w:ascii="Arial" w:hAnsi="Arial" w:cs="Arial"/>
          <w:sz w:val="24"/>
          <w:szCs w:val="24"/>
        </w:rPr>
      </w:pPr>
      <w:r>
        <w:rPr>
          <w:rFonts w:ascii="Arial" w:hAnsi="Arial" w:cs="Arial"/>
          <w:sz w:val="24"/>
          <w:szCs w:val="24"/>
        </w:rPr>
        <w:t>Da je nadzor dao predlog – izjavu  da su se stekli uslovi za puštanje objekta u probni rad</w:t>
      </w:r>
    </w:p>
    <w:p w14:paraId="3107D35D">
      <w:pPr>
        <w:pStyle w:val="4"/>
        <w:numPr>
          <w:ilvl w:val="0"/>
          <w:numId w:val="2"/>
        </w:numPr>
        <w:tabs>
          <w:tab w:val="left" w:pos="5640"/>
        </w:tabs>
        <w:spacing w:line="240" w:lineRule="auto"/>
        <w:jc w:val="both"/>
        <w:rPr>
          <w:rFonts w:ascii="Arial" w:hAnsi="Arial" w:cs="Arial"/>
          <w:sz w:val="24"/>
          <w:szCs w:val="24"/>
        </w:rPr>
      </w:pPr>
      <w:r>
        <w:rPr>
          <w:rFonts w:ascii="Arial" w:hAnsi="Arial" w:cs="Arial"/>
          <w:sz w:val="24"/>
          <w:szCs w:val="24"/>
        </w:rPr>
        <w:t>Da su u svemu ispunjeni uslovi u skladu sa relevantnim odredbama Zakona o izgradnji objekata</w:t>
      </w:r>
    </w:p>
    <w:p w14:paraId="2DC6AF04">
      <w:pPr>
        <w:tabs>
          <w:tab w:val="left" w:pos="5640"/>
        </w:tabs>
        <w:spacing w:line="240" w:lineRule="auto"/>
        <w:ind w:left="60"/>
        <w:jc w:val="both"/>
        <w:rPr>
          <w:rFonts w:ascii="Arial" w:hAnsi="Arial" w:cs="Arial"/>
          <w:sz w:val="24"/>
          <w:szCs w:val="24"/>
        </w:rPr>
      </w:pPr>
      <w:r>
        <w:rPr>
          <w:rFonts w:ascii="Arial" w:hAnsi="Arial" w:cs="Arial"/>
          <w:sz w:val="24"/>
          <w:szCs w:val="24"/>
        </w:rPr>
        <w:t>Takođe, Zapisnikom termoenergetskog inspektora  Ministarstva energetike i rudarstva Kovačević Miloša  br. UP IN-01-724/25-19/3 od 11.12.2025.godine, potvrđeno je da je istog dana 28.11.2025.godine, termoenergetski inspektor vršio inspekcijski pregled, te da je tom prilikom kontaktirao prijavljenog Đurković Ljubišu  i sa njim  “dogovorio način rada i zakazivanja inspekcijskih pregleda kako bi što efikasnije završili inspekcijske preglede. Dogovoreno je da se vrše inspekcijski pregledi za svaki pojedinačni objekat definisan građevinskom dozvolom i to na način da podnosilac zahtjeva obavijesti inspektora kada je određeno postrojenje  spremno za inspekcijski pregled i da elektronskim putem dostavi traženu dokumentaciju za svaki od objekata, a da zatim organizuje inspekcijski pregled na objektu.</w:t>
      </w:r>
    </w:p>
    <w:p w14:paraId="7879CD6F">
      <w:pPr>
        <w:tabs>
          <w:tab w:val="left" w:pos="5640"/>
        </w:tabs>
        <w:spacing w:line="240" w:lineRule="auto"/>
        <w:ind w:left="60"/>
        <w:jc w:val="both"/>
        <w:rPr>
          <w:rFonts w:ascii="Arial" w:hAnsi="Arial" w:cs="Arial"/>
          <w:sz w:val="24"/>
          <w:szCs w:val="24"/>
        </w:rPr>
      </w:pPr>
      <w:r>
        <w:rPr>
          <w:rFonts w:ascii="Arial" w:hAnsi="Arial" w:cs="Arial"/>
          <w:sz w:val="24"/>
          <w:szCs w:val="24"/>
          <w:u w:val="single"/>
        </w:rPr>
        <w:t>Takođe, inspektor je upoznao podnosioca zahtjeva da je potrebno obezbediti i saglasnost elektrenergetske inspekcije, građevinske inspekcije, ekološke inspekcije i inspekcije za vode, svake iz svoje nadležnosti, prije nego što termoenergetski inspektor donese rješenje o probnom radu</w:t>
      </w:r>
      <w:r>
        <w:rPr>
          <w:rFonts w:ascii="Arial" w:hAnsi="Arial" w:cs="Arial"/>
          <w:sz w:val="24"/>
          <w:szCs w:val="24"/>
        </w:rPr>
        <w:t>.”</w:t>
      </w:r>
    </w:p>
    <w:p w14:paraId="513B061A">
      <w:pPr>
        <w:tabs>
          <w:tab w:val="left" w:pos="5640"/>
        </w:tabs>
        <w:spacing w:line="240" w:lineRule="auto"/>
        <w:ind w:left="60"/>
        <w:jc w:val="both"/>
        <w:rPr>
          <w:rFonts w:ascii="Arial" w:hAnsi="Arial" w:cs="Arial"/>
          <w:sz w:val="24"/>
          <w:szCs w:val="24"/>
        </w:rPr>
      </w:pPr>
      <w:r>
        <w:rPr>
          <w:rFonts w:ascii="Arial" w:hAnsi="Arial" w:cs="Arial"/>
          <w:sz w:val="24"/>
          <w:szCs w:val="24"/>
        </w:rPr>
        <w:t>U daljem tekstu zapisnika inspektor navodi  da je:</w:t>
      </w:r>
    </w:p>
    <w:p w14:paraId="2C931EE9">
      <w:pPr>
        <w:tabs>
          <w:tab w:val="left" w:pos="5640"/>
        </w:tabs>
        <w:spacing w:line="240" w:lineRule="auto"/>
        <w:ind w:left="60"/>
        <w:jc w:val="both"/>
        <w:rPr>
          <w:rFonts w:ascii="Arial" w:hAnsi="Arial" w:cs="Arial"/>
          <w:sz w:val="24"/>
          <w:szCs w:val="24"/>
          <w:u w:val="single"/>
        </w:rPr>
      </w:pPr>
      <w:r>
        <w:rPr>
          <w:rFonts w:ascii="Arial" w:hAnsi="Arial" w:cs="Arial"/>
          <w:sz w:val="24"/>
          <w:szCs w:val="24"/>
          <w:u w:val="single"/>
        </w:rPr>
        <w:t>“između dva inspekcijska pregleda inspektor iz sredstava informisanja saznao da je TE Pljevlja puštena u pogon i da je nedugo nakon toga izašla iz pogona zbog problema nastalih na sistemu za transport otpada, kontaktirao je Ljubišu Jankovića (ovde prijavljenog) i tražio od njega informacije o pomenutom događaju. U razgovoru inspektor je obavješten da dio Sistema za transport šljake ne funkcioniše i da koriste stari način transporta, dok dio Sistema za transport pepela funkcioniše dobro uz početno slabo snalaženje usled nepoznavanja rada novog sistema…”</w:t>
      </w:r>
    </w:p>
    <w:p w14:paraId="3E05CAF1">
      <w:pPr>
        <w:tabs>
          <w:tab w:val="left" w:pos="5640"/>
        </w:tabs>
        <w:spacing w:line="240" w:lineRule="auto"/>
        <w:ind w:left="60"/>
        <w:jc w:val="both"/>
        <w:rPr>
          <w:rFonts w:hint="default" w:ascii="Arial" w:hAnsi="Arial" w:cs="Arial"/>
          <w:sz w:val="24"/>
          <w:szCs w:val="24"/>
          <w:lang w:val="en-US"/>
        </w:rPr>
      </w:pPr>
      <w:r>
        <w:rPr>
          <w:rFonts w:ascii="Arial" w:hAnsi="Arial" w:cs="Arial"/>
          <w:sz w:val="24"/>
          <w:szCs w:val="24"/>
        </w:rPr>
        <w:t xml:space="preserve">Na kraju zapisnika inspektor donosi zaključak: </w:t>
      </w:r>
    </w:p>
    <w:p w14:paraId="02E40C14">
      <w:pPr>
        <w:tabs>
          <w:tab w:val="left" w:pos="5640"/>
        </w:tabs>
        <w:spacing w:line="240" w:lineRule="auto"/>
        <w:ind w:left="60"/>
        <w:jc w:val="both"/>
        <w:rPr>
          <w:rFonts w:ascii="Arial" w:hAnsi="Arial" w:cs="Arial"/>
          <w:sz w:val="24"/>
          <w:szCs w:val="24"/>
          <w:u w:val="single"/>
        </w:rPr>
      </w:pPr>
      <w:r>
        <w:rPr>
          <w:rFonts w:ascii="Arial" w:hAnsi="Arial" w:cs="Arial"/>
          <w:sz w:val="24"/>
          <w:szCs w:val="24"/>
          <w:u w:val="single"/>
        </w:rPr>
        <w:t>“Kako je za davanje rješenja za probni rad potrebno završiti sve objekte koji su navedeni u građevinskoj dozvoli br.UPI 063-224/6 od 26.05.2020,godine izdatoj od strane Ministarstva održivog razvoja i turizma i kako je potrebno prethodno obezbediti saglasnosti elektroenergetske inspekcije, građevinske inspekcije, ekološke inspekcije i inspekcije za vode za objekat u cijelini, i kako do dana sačinjavanja ovog zapisnika termoenergetski inspektor nije obaviješten da su ispunjeni  ovi zahtjevi,</w:t>
      </w:r>
      <w:r>
        <w:rPr>
          <w:rFonts w:ascii="Arial" w:hAnsi="Arial" w:cs="Arial"/>
          <w:b/>
          <w:sz w:val="24"/>
          <w:szCs w:val="24"/>
          <w:u w:val="single"/>
        </w:rPr>
        <w:t xml:space="preserve"> INSPEKTOR NAJAVLJUJE DA ĆE DONIJETI RJEŠENJE O ODBIJANJU ZAHTJEVA ZA PROBNI RAD OBJEKTA TE PLJEVLJA – ekološka rekonstrukcija Termoelektrane Pljevlja – Blok I, </w:t>
      </w:r>
      <w:r>
        <w:rPr>
          <w:rFonts w:ascii="Arial" w:hAnsi="Arial" w:cs="Arial"/>
          <w:sz w:val="24"/>
          <w:szCs w:val="24"/>
          <w:u w:val="single"/>
        </w:rPr>
        <w:t>u skladu sa čl. 112, Zakona o upravnom postupku (“Sl.list CG”, br.56/14, 20/15, 40/16 i 37/17),</w:t>
      </w:r>
      <w:r>
        <w:rPr>
          <w:rFonts w:ascii="Arial" w:hAnsi="Arial" w:cs="Arial"/>
          <w:b/>
          <w:sz w:val="24"/>
          <w:szCs w:val="24"/>
          <w:u w:val="single"/>
        </w:rPr>
        <w:t xml:space="preserve"> poziva se subjekt pregleda da se IZJASNI NA OVU ČINJENICU U ROKU OD 8 (osam) DANA OD DANA PREUZIMANJA OVOG ZAPISNIKA.”</w:t>
      </w:r>
    </w:p>
    <w:p w14:paraId="4C611BDC">
      <w:pPr>
        <w:tabs>
          <w:tab w:val="left" w:pos="5640"/>
        </w:tabs>
        <w:spacing w:line="240" w:lineRule="auto"/>
        <w:jc w:val="both"/>
        <w:rPr>
          <w:rFonts w:ascii="Arial" w:hAnsi="Arial" w:cs="Arial"/>
          <w:sz w:val="24"/>
          <w:szCs w:val="24"/>
        </w:rPr>
      </w:pPr>
      <w:r>
        <w:rPr>
          <w:rFonts w:ascii="Arial" w:hAnsi="Arial" w:cs="Arial"/>
          <w:sz w:val="24"/>
          <w:szCs w:val="24"/>
        </w:rPr>
        <w:t>Iz zapisnika se nedvosmisleno može utvrditi da je termoenergetski inspektor započeo inspekcijski nadzor 28.11.2025.godine, te da je tom prilikom utvrdio da subjekt nadzora ne posjeduje prethodno pribavljene saglasnosti elektroenergetskog inspektora, građevinskog inspektora, ekološkog inspektora i inspektora za vode za cio objekat u skladu sa izdatom dozvolom i da je o tome obavjestio prisutne predstavnike na inspekcijskoj kontroli. Takođe, nedvosmisleno se može utvrditi i da je ostvario komunaikaciju sa ovde prijavljenim Đurković Ljubišom, te da je dogovorio način i dinamiku vršenja inspekcijske kontrole u narednom periodu, očito računajući da  se kontrolisani objekat neće  pustiti u rad dok se inspekcijski nadzor ne okonča i donese rješenje o odobravanju probnog rada.</w:t>
      </w:r>
    </w:p>
    <w:p w14:paraId="1084F1FC">
      <w:pPr>
        <w:tabs>
          <w:tab w:val="left" w:pos="5640"/>
        </w:tabs>
        <w:spacing w:line="240" w:lineRule="auto"/>
        <w:jc w:val="both"/>
        <w:rPr>
          <w:rFonts w:ascii="Arial" w:hAnsi="Arial" w:cs="Arial"/>
          <w:sz w:val="24"/>
          <w:szCs w:val="24"/>
        </w:rPr>
      </w:pPr>
      <w:r>
        <w:rPr>
          <w:rFonts w:ascii="Arial" w:hAnsi="Arial" w:cs="Arial"/>
          <w:sz w:val="24"/>
          <w:szCs w:val="24"/>
        </w:rPr>
        <w:t>Međutim, već isti dan (28.11.2025.godine) kada je započeo inspekcijski pregled, prijavljena lica zaposlena kod kontrolisanog subjekta, donose akt br.10-00-52656 Saglasnost za puštanje dijela postrojenja TE “Pljevlja” – Pljevlja u probni rad, svjesni primjedbi koje je taj dan iznio inspektor Miloš Kovačević, u kome navode da je nadzor dao izjavu – da su se stekli uslovi za puštanje objekta u probni rad, da je završena isporuka i montaža opreme predviđene revidovanim Glavnim projektom rekonstrukcije, te da su ispunjeni  uslovi u skladu sa relevantnim odredbama Zakona o izgradnji objekata – što predstavlja netačne navode imajući u vidu sadržaj zapisnika termoenergetskog inspektora.</w:t>
      </w:r>
    </w:p>
    <w:p w14:paraId="46BB76B4">
      <w:pPr>
        <w:tabs>
          <w:tab w:val="left" w:pos="5640"/>
        </w:tabs>
        <w:spacing w:line="240" w:lineRule="auto"/>
        <w:jc w:val="both"/>
        <w:rPr>
          <w:rFonts w:ascii="Arial" w:hAnsi="Arial" w:cs="Arial"/>
          <w:sz w:val="24"/>
          <w:szCs w:val="24"/>
        </w:rPr>
      </w:pPr>
      <w:r>
        <w:rPr>
          <w:rFonts w:ascii="Arial" w:hAnsi="Arial" w:cs="Arial"/>
          <w:sz w:val="24"/>
          <w:szCs w:val="24"/>
        </w:rPr>
        <w:t>S obzirom na činjenicu da je termoenergetski inspektor imao direktnu komunikaciju 28.11.2025. godine sa prijavljenim Đurković Ljubišom u kojoj ga je inspektor upozorio da ne postoje uslovi za</w:t>
      </w:r>
      <w:r>
        <w:rPr>
          <w:rFonts w:hint="default" w:ascii="Arial" w:hAnsi="Arial" w:cs="Arial"/>
          <w:sz w:val="24"/>
          <w:szCs w:val="24"/>
          <w:lang w:val="en-US"/>
        </w:rPr>
        <w:t xml:space="preserve"> puštanje u rad objekta</w:t>
      </w:r>
      <w:r>
        <w:rPr>
          <w:rFonts w:ascii="Arial" w:hAnsi="Arial" w:cs="Arial"/>
          <w:sz w:val="24"/>
          <w:szCs w:val="24"/>
        </w:rPr>
        <w:t xml:space="preserve"> i da su međusobno dogovarali način i dinamiku daljeg nadzora u cilju sticanja uslova za</w:t>
      </w:r>
      <w:r>
        <w:rPr>
          <w:rFonts w:hint="default" w:ascii="Arial" w:hAnsi="Arial" w:cs="Arial"/>
          <w:sz w:val="24"/>
          <w:szCs w:val="24"/>
          <w:lang w:val="en-US"/>
        </w:rPr>
        <w:t xml:space="preserve"> izdavanje dozvole za</w:t>
      </w:r>
      <w:r>
        <w:rPr>
          <w:rFonts w:ascii="Arial" w:hAnsi="Arial" w:cs="Arial"/>
          <w:sz w:val="24"/>
          <w:szCs w:val="24"/>
        </w:rPr>
        <w:t xml:space="preserve"> probni rad, te činjenicu da su prijavljeni lica zaposlena na menadžerskim pozicijama, koja s obzirom na svoju poziciju u društvu, stručno znanje i radno iskustvo moraju biti upućena da nisu ispunjeni uslovi za puštanje u probni rad objekta – nedvosmisleno je da su prijavljena lica, sa direktnim umišljajem, izvršila krivično dijelo falsifikovanja službene isprave sa ciljem protivpravnog puštanja u probni rad objekta ekološke rekonstrukcije TE Pljevlja, suprotno Zakonu o izgradnji objekata, što je i učinjeno dana 30.11.2025.godine.</w:t>
      </w:r>
    </w:p>
    <w:p w14:paraId="4D8EE1BD">
      <w:pPr>
        <w:tabs>
          <w:tab w:val="left" w:pos="5640"/>
        </w:tabs>
        <w:spacing w:line="240" w:lineRule="auto"/>
        <w:jc w:val="both"/>
        <w:rPr>
          <w:rFonts w:ascii="Arial" w:hAnsi="Arial" w:cs="Arial"/>
          <w:sz w:val="24"/>
          <w:szCs w:val="24"/>
        </w:rPr>
      </w:pPr>
      <w:r>
        <w:rPr>
          <w:rFonts w:ascii="Arial" w:hAnsi="Arial" w:cs="Arial"/>
          <w:sz w:val="24"/>
          <w:szCs w:val="24"/>
        </w:rPr>
        <w:t>Iz zapisnika termoenergetskog inspektora nejasno je ko je vršio usluge stručnog nadzora nad puštanjem u rad  TE “Pljevlja”  nakon ekološke rekonstrukcije, a ovo iz razloga što je EPCG 15.10.2025.godine donijela odluku broj 20-00-13308 kojom je tadašnji VD izvršnog direktora Ivan Bulatović, poništio postupak javne nabavke ovih usluga, 6 dana prije njegove smjene, a novi javni poziv nije raspisivan.</w:t>
      </w:r>
    </w:p>
    <w:p w14:paraId="1CA01B5D">
      <w:pPr>
        <w:tabs>
          <w:tab w:val="left" w:pos="5640"/>
        </w:tabs>
        <w:spacing w:line="240" w:lineRule="auto"/>
        <w:jc w:val="both"/>
        <w:rPr>
          <w:rFonts w:ascii="Arial" w:hAnsi="Arial" w:cs="Arial"/>
          <w:sz w:val="24"/>
          <w:szCs w:val="24"/>
        </w:rPr>
      </w:pPr>
      <w:r>
        <w:rPr>
          <w:rFonts w:ascii="Arial" w:hAnsi="Arial" w:cs="Arial"/>
          <w:sz w:val="24"/>
          <w:szCs w:val="24"/>
        </w:rPr>
        <w:t>Takođe, nejasno je da li je EPCG formirala Komisiju od prijavljenih lica u smislu izbjegavanja propisa iz člana 12 Pravilnika o načinu vršenja tehničkog pregleda i načinu izrade  i bližoj sadržini izvještaja o tehničkom pregledu (“Sl.list CG” br.63/25) i da li su stručni nadzor i  tehnički pregled vršeni u skladu sa odredbama članova 50-58 Zakona o izgradnji objekata (“Sl.list CG” br.19/25 i 92/25).</w:t>
      </w:r>
    </w:p>
    <w:p w14:paraId="514A06B0">
      <w:pPr>
        <w:tabs>
          <w:tab w:val="left" w:pos="5640"/>
        </w:tabs>
        <w:spacing w:line="240" w:lineRule="auto"/>
        <w:jc w:val="both"/>
        <w:rPr>
          <w:rFonts w:ascii="Arial" w:hAnsi="Arial" w:cs="Arial"/>
          <w:sz w:val="24"/>
          <w:szCs w:val="24"/>
        </w:rPr>
      </w:pPr>
      <w:r>
        <w:rPr>
          <w:rFonts w:ascii="Arial" w:hAnsi="Arial" w:cs="Arial"/>
          <w:sz w:val="24"/>
          <w:szCs w:val="24"/>
        </w:rPr>
        <w:t>Na ovaj način  prijavljena lica su izdala službenu ispravu koja je, iako protivpravna i netačna, poslužila izbjegavanju zakonske procedure krajnjem donosiocu odluke o puštanju u probni rad objekta – ekološke rekonstrukcije TE Pljevlja po građevinskoj dozvoli   br.UPI 063-224/6 od 26.05.2020.godine izdatoj od strane Ministarstva odrđivog razvoja i turizma.</w:t>
      </w:r>
    </w:p>
    <w:p w14:paraId="708CEDEB">
      <w:pPr>
        <w:tabs>
          <w:tab w:val="left" w:pos="5640"/>
        </w:tabs>
        <w:spacing w:line="240" w:lineRule="auto"/>
        <w:jc w:val="both"/>
        <w:rPr>
          <w:rFonts w:ascii="Arial" w:hAnsi="Arial" w:cs="Arial"/>
          <w:sz w:val="24"/>
          <w:szCs w:val="24"/>
        </w:rPr>
      </w:pPr>
      <w:r>
        <w:rPr>
          <w:rFonts w:ascii="Arial" w:hAnsi="Arial" w:cs="Arial"/>
          <w:sz w:val="24"/>
          <w:szCs w:val="24"/>
        </w:rPr>
        <w:t>Puštanjem u probni rad objekta u izgradnji, bez pribavljenih saglasnosti u smislu člana 61 stav 4 zakona o izgradnji objekata (“Sl.list CG” br.19/25 i 92/25),sa nefunkcionalnim pojedinim djelovima objekta i bez povezanih postrojenja za odsuporavanje i denitrifikaciju predviđenih revidovanim glavnim projektom ekološke rekonstrukcije -  izvršeno je zagađivanje životne sredine koje je ekstremno štetno za zdravlje građana opštine Pljevlja, koje je izvršeno nekontrolisanom emisijom velike količine SO2 i drugih polutanata u vazduh u period od 28.11.2025.godine do sada, te zagađivanjem zemljišta pepelom i šljakom prilikom njihovog transporta i odlaganja suprotno revidovanom Glavnom projektu ekološke rekonstrukcije.</w:t>
      </w:r>
    </w:p>
    <w:p w14:paraId="2F74EDA2">
      <w:pPr>
        <w:tabs>
          <w:tab w:val="left" w:pos="5640"/>
        </w:tabs>
        <w:spacing w:line="240" w:lineRule="auto"/>
        <w:jc w:val="both"/>
        <w:rPr>
          <w:rFonts w:ascii="Arial" w:hAnsi="Arial" w:cs="Arial"/>
          <w:sz w:val="24"/>
          <w:szCs w:val="24"/>
        </w:rPr>
      </w:pPr>
      <w:r>
        <w:rPr>
          <w:rFonts w:ascii="Arial" w:hAnsi="Arial" w:cs="Arial"/>
          <w:sz w:val="24"/>
          <w:szCs w:val="24"/>
        </w:rPr>
        <w:t xml:space="preserve"> Odgovorna lica u EPCG su, čak i u uslovima loše metereološke situacije, nastavila sa korišćenjem objekta u izgradnji, koji je pušten u rad nedovršen i neusklađen sa projektom rekonstrukcije, ali i sa projektom iz 1982.godine, te maksimalno doprinijela ekstremnom zagađenju vazduha u period od 10.12.2025 do 15.12.2025 koje je najviše bilo u noćnim satima 13.12.2025.godine kada je koncetracija SO2 dostigla nivo od nevjerovatnih 805 ug/m</w:t>
      </w:r>
      <w:r>
        <w:rPr>
          <w:rFonts w:ascii="Arial" w:hAnsi="Arial" w:cs="Arial"/>
          <w:sz w:val="24"/>
          <w:szCs w:val="24"/>
          <w:vertAlign w:val="superscript"/>
        </w:rPr>
        <w:t>3</w:t>
      </w:r>
      <w:r>
        <w:rPr>
          <w:rFonts w:ascii="Arial" w:hAnsi="Arial" w:cs="Arial"/>
          <w:sz w:val="24"/>
          <w:szCs w:val="24"/>
        </w:rPr>
        <w:t xml:space="preserve">. </w:t>
      </w:r>
    </w:p>
    <w:p w14:paraId="22F1D99A">
      <w:pPr>
        <w:tabs>
          <w:tab w:val="left" w:pos="5640"/>
        </w:tabs>
        <w:spacing w:line="240" w:lineRule="auto"/>
        <w:jc w:val="both"/>
        <w:rPr>
          <w:rFonts w:ascii="Arial" w:hAnsi="Arial" w:cs="Arial"/>
          <w:sz w:val="24"/>
          <w:szCs w:val="24"/>
        </w:rPr>
      </w:pPr>
      <w:r>
        <w:rPr>
          <w:rFonts w:ascii="Arial" w:hAnsi="Arial" w:cs="Arial"/>
          <w:sz w:val="24"/>
          <w:szCs w:val="24"/>
        </w:rPr>
        <w:t>Iz navedenog je jasna namjera kontrolisanog subjekta da zloupotrebi instituta probnog rada iz člana 61 Zakona o izgradnji objekata (“Sl.list CG” br.19/25 i 92/25), te da probni rad, objekta koji nije u cijelini još uvijek izgrađen u skladu sa revidovanim glavnim projektom ekološke rekonstrukcije (nepovezana postrojenja za odsumporavanje i denitrifikaciju)  traje neodređeno vrijeme.</w:t>
      </w:r>
    </w:p>
    <w:p w14:paraId="1ADB8C9E">
      <w:pPr>
        <w:tabs>
          <w:tab w:val="left" w:pos="5640"/>
        </w:tabs>
        <w:spacing w:line="240" w:lineRule="auto"/>
        <w:jc w:val="both"/>
        <w:rPr>
          <w:rFonts w:ascii="Arial" w:hAnsi="Arial" w:cs="Arial"/>
          <w:sz w:val="24"/>
          <w:szCs w:val="24"/>
        </w:rPr>
      </w:pPr>
      <w:r>
        <w:rPr>
          <w:rFonts w:ascii="Arial" w:hAnsi="Arial" w:cs="Arial"/>
          <w:sz w:val="24"/>
          <w:szCs w:val="24"/>
        </w:rPr>
        <w:t>Dakle, EPCG i njena Komisija revidovani Glavni projekat ekološke rekonstrukcije TE ne posmatraju kao jedinstvenu prostornu, funkcionalnu, konstruktivnu, arhitektonsku, tehničko-tehnološku, estetsku cjelinu sa instalacijama, postrojenjima i opremom koja se u njega ugrašuje  i koja je spojena sa tlom, tj. Inženjerski objekat (član 7 tačka 8 Zakona) za koji se dobila građevinska dozvola, već pustaju neizgrađeni objekat u probni rad na neodređeno vrijeme, bez rješenja nadležnog organa u smislu člana 61 stav 4 Zakona o izgradnji objekata, koje po svojoj prirodi ne može biti deklerativne, već isključivo konstitutivne prirode.</w:t>
      </w:r>
    </w:p>
    <w:p w14:paraId="1C63F85F">
      <w:pPr>
        <w:tabs>
          <w:tab w:val="left" w:pos="5640"/>
        </w:tabs>
        <w:spacing w:line="240" w:lineRule="auto"/>
        <w:jc w:val="both"/>
        <w:rPr>
          <w:rFonts w:ascii="Arial" w:hAnsi="Arial" w:cs="Arial"/>
          <w:sz w:val="24"/>
          <w:szCs w:val="24"/>
        </w:rPr>
      </w:pPr>
      <w:r>
        <w:rPr>
          <w:rFonts w:ascii="Arial" w:hAnsi="Arial" w:cs="Arial"/>
          <w:sz w:val="24"/>
          <w:szCs w:val="24"/>
        </w:rPr>
        <w:t>Na ovaj način došlo je do ostvaivanja svih elemenata bića krivičnog dijela iz člana 305 Krivičnog zakonika jer su odgovorna lica u Elektroprivredi CG, protivno propisima o zaštiti, očuvanju i unaprijeđenju životne sredine dozvolila stavljanje u pogon, upotrebu i rad objekta u kojem se obavlja opasna djelatnost, odnosno koriste opasne materije ili preparati i time izvan tog objekta izazvali opasnost za život i zdravje ljudi, odnosno opasnost od nastupanja znatne štete u odnosu na kvalitet vazduha, vode ili zemljišta, odnosno opasnost za životinjski ili biljni svijet”</w:t>
      </w:r>
    </w:p>
    <w:p w14:paraId="4FA63CDA">
      <w:pPr>
        <w:tabs>
          <w:tab w:val="left" w:pos="5640"/>
        </w:tabs>
        <w:spacing w:line="240" w:lineRule="auto"/>
        <w:jc w:val="both"/>
        <w:rPr>
          <w:rFonts w:ascii="Arial" w:hAnsi="Arial" w:cs="Arial"/>
          <w:sz w:val="24"/>
          <w:szCs w:val="24"/>
        </w:rPr>
      </w:pPr>
      <w:r>
        <w:rPr>
          <w:rFonts w:ascii="Arial" w:hAnsi="Arial" w:cs="Arial"/>
          <w:sz w:val="24"/>
          <w:szCs w:val="24"/>
        </w:rPr>
        <w:t>Kako su na gore navedeni način ugozili živote i zdravlje građana Pljevalja, u dužem vremenskom periodu, a kako bi na protivpravan način pribavili korist EPCG AD prodajom proizvedene električne energije na ovaj način, to su prijavljena i druga odgovorna lica izvršila i krivično dijelo člana 272  Krivičnog zakonika – Zloupotreba položaja u privrednom poslovanju.</w:t>
      </w:r>
    </w:p>
    <w:p w14:paraId="46B45C9B">
      <w:pPr>
        <w:tabs>
          <w:tab w:val="left" w:pos="5640"/>
        </w:tabs>
        <w:spacing w:line="240" w:lineRule="auto"/>
        <w:jc w:val="both"/>
        <w:rPr>
          <w:rFonts w:ascii="Arial" w:hAnsi="Arial" w:cs="Arial"/>
          <w:sz w:val="24"/>
          <w:szCs w:val="24"/>
        </w:rPr>
      </w:pPr>
      <w:r>
        <w:rPr>
          <w:rFonts w:ascii="Arial" w:hAnsi="Arial" w:cs="Arial"/>
          <w:sz w:val="24"/>
          <w:szCs w:val="24"/>
        </w:rPr>
        <w:t xml:space="preserve">Imajući u vidu značaj koje nezakoniti rad neizgrađenog  industrijskog objekta ima na zagađenje životne sredine i nanošenje štete životu i zdravlju građana Pljevlja, da su krivična dijela izvršena u sticaju, </w:t>
      </w:r>
      <w:r>
        <w:rPr>
          <w:rFonts w:ascii="Arial" w:hAnsi="Arial" w:cs="Arial"/>
          <w:b/>
          <w:sz w:val="24"/>
          <w:szCs w:val="24"/>
        </w:rPr>
        <w:t>te da je izvršenje gore navedenih krivičnih djela i dalje u toku</w:t>
      </w:r>
      <w:r>
        <w:rPr>
          <w:rFonts w:ascii="Arial" w:hAnsi="Arial" w:cs="Arial"/>
          <w:sz w:val="24"/>
          <w:szCs w:val="24"/>
        </w:rPr>
        <w:t>, očekujemo hitno postupanje nadležnog tužilaštva, Uprave policije i drugih nadležnih inspekcijskih organa, a sve u cilju spriječavanja daljeg zagađivanja životne sredine i ugrožavanja zdravlja građana opštine Pljevlja.</w:t>
      </w:r>
    </w:p>
    <w:p w14:paraId="6F29B1E4">
      <w:pPr>
        <w:tabs>
          <w:tab w:val="left" w:pos="5640"/>
        </w:tabs>
        <w:spacing w:line="240" w:lineRule="auto"/>
        <w:jc w:val="both"/>
        <w:rPr>
          <w:rFonts w:ascii="Arial" w:hAnsi="Arial" w:cs="Arial"/>
          <w:sz w:val="24"/>
          <w:szCs w:val="24"/>
        </w:rPr>
      </w:pPr>
      <w:r>
        <w:rPr>
          <w:rFonts w:ascii="Arial" w:hAnsi="Arial" w:cs="Arial"/>
          <w:b/>
          <w:sz w:val="24"/>
          <w:szCs w:val="24"/>
        </w:rPr>
        <w:t xml:space="preserve">Građani opštine Pljevlja nalaze se u opasnosti da TE Pljevlja, koja je ušla u postupak ekološke rekonstrukcije, radi smanjenje emisija SO2 i drugih prije svega nitratnih polutanata, </w:t>
      </w:r>
      <w:r>
        <w:rPr>
          <w:rFonts w:ascii="Arial" w:hAnsi="Arial" w:cs="Arial"/>
          <w:b/>
          <w:sz w:val="24"/>
          <w:szCs w:val="24"/>
          <w:u w:val="single"/>
        </w:rPr>
        <w:t>bude puštena u tzv “probni rad” upravo bez tih postrojenja nakon ekološke rekonstrukcije</w:t>
      </w:r>
      <w:r>
        <w:rPr>
          <w:rFonts w:ascii="Arial" w:hAnsi="Arial" w:cs="Arial"/>
          <w:b/>
          <w:sz w:val="24"/>
          <w:szCs w:val="24"/>
        </w:rPr>
        <w:t xml:space="preserve"> i da taj probni rad ne zahtjeva po stanovištu investitora, izdavanje dozvole za probni rad, </w:t>
      </w:r>
      <w:r>
        <w:rPr>
          <w:rFonts w:ascii="Arial" w:hAnsi="Arial" w:cs="Arial"/>
          <w:b/>
          <w:sz w:val="24"/>
          <w:szCs w:val="24"/>
          <w:u w:val="single"/>
        </w:rPr>
        <w:t>niti je taj rad bez povezanih DeSOx i DeNSOx postrojenja vremenski ograničen,</w:t>
      </w:r>
      <w:r>
        <w:rPr>
          <w:rFonts w:ascii="Arial" w:hAnsi="Arial" w:cs="Arial"/>
          <w:b/>
          <w:sz w:val="24"/>
          <w:szCs w:val="24"/>
        </w:rPr>
        <w:t xml:space="preserve"> </w:t>
      </w:r>
      <w:r>
        <w:rPr>
          <w:rFonts w:ascii="Arial" w:hAnsi="Arial" w:cs="Arial"/>
          <w:sz w:val="24"/>
          <w:szCs w:val="24"/>
        </w:rPr>
        <w:t xml:space="preserve">što ih može izložiti dugotrajnom zagađenju vazduha i ugrožavanju zdravlja i života stanvništva, a u cilju sticanja dobiti i  “spriječavanja nastanka “nesagledive” štete za EPCG”, kako navode prijavljeni u svom aktu. </w:t>
      </w:r>
    </w:p>
    <w:p w14:paraId="08B6B6AE">
      <w:pPr>
        <w:tabs>
          <w:tab w:val="left" w:pos="5640"/>
        </w:tabs>
        <w:spacing w:line="240" w:lineRule="auto"/>
        <w:jc w:val="both"/>
        <w:rPr>
          <w:rFonts w:ascii="Arial" w:hAnsi="Arial" w:cs="Arial"/>
          <w:b/>
          <w:sz w:val="24"/>
          <w:szCs w:val="24"/>
        </w:rPr>
      </w:pPr>
      <w:r>
        <w:rPr>
          <w:rFonts w:ascii="Arial" w:hAnsi="Arial" w:cs="Arial"/>
          <w:b/>
          <w:sz w:val="24"/>
          <w:szCs w:val="24"/>
        </w:rPr>
        <w:t>U prilogu:</w:t>
      </w:r>
    </w:p>
    <w:p w14:paraId="56CE2139">
      <w:pPr>
        <w:pStyle w:val="4"/>
        <w:numPr>
          <w:ilvl w:val="0"/>
          <w:numId w:val="2"/>
        </w:numPr>
        <w:tabs>
          <w:tab w:val="left" w:pos="5640"/>
        </w:tabs>
        <w:spacing w:line="240" w:lineRule="auto"/>
        <w:jc w:val="both"/>
        <w:rPr>
          <w:rFonts w:ascii="Arial" w:hAnsi="Arial" w:cs="Arial"/>
          <w:sz w:val="24"/>
          <w:szCs w:val="24"/>
        </w:rPr>
      </w:pPr>
      <w:r>
        <w:rPr>
          <w:rFonts w:ascii="Arial" w:hAnsi="Arial" w:cs="Arial"/>
          <w:sz w:val="24"/>
          <w:szCs w:val="24"/>
        </w:rPr>
        <w:t>Saglasnost za puštanje u rad dijela postrojenja br.10-00-52656 od 28.11.2025.</w:t>
      </w:r>
    </w:p>
    <w:p w14:paraId="467E47FC">
      <w:pPr>
        <w:pStyle w:val="4"/>
        <w:tabs>
          <w:tab w:val="left" w:pos="5640"/>
        </w:tabs>
        <w:spacing w:line="240" w:lineRule="auto"/>
        <w:ind w:left="420"/>
        <w:jc w:val="both"/>
        <w:rPr>
          <w:rFonts w:ascii="Arial" w:hAnsi="Arial" w:cs="Arial"/>
          <w:sz w:val="24"/>
          <w:szCs w:val="24"/>
        </w:rPr>
      </w:pPr>
      <w:r>
        <w:rPr>
          <w:rFonts w:ascii="Arial" w:hAnsi="Arial" w:cs="Arial"/>
          <w:sz w:val="24"/>
          <w:szCs w:val="24"/>
        </w:rPr>
        <w:t>godine</w:t>
      </w:r>
    </w:p>
    <w:p w14:paraId="79816901">
      <w:pPr>
        <w:pStyle w:val="4"/>
        <w:numPr>
          <w:ilvl w:val="0"/>
          <w:numId w:val="2"/>
        </w:numPr>
        <w:tabs>
          <w:tab w:val="left" w:pos="5640"/>
        </w:tabs>
        <w:spacing w:line="240" w:lineRule="auto"/>
        <w:jc w:val="both"/>
        <w:rPr>
          <w:rFonts w:ascii="Arial" w:hAnsi="Arial" w:cs="Arial"/>
          <w:sz w:val="24"/>
          <w:szCs w:val="24"/>
        </w:rPr>
      </w:pPr>
      <w:r>
        <w:rPr>
          <w:rFonts w:ascii="Arial" w:hAnsi="Arial" w:cs="Arial"/>
          <w:sz w:val="24"/>
          <w:szCs w:val="24"/>
        </w:rPr>
        <w:t>Zapisnik termoenergetskog inspektora br. UP IN-01-724/25-19/3 od 11.12.2025. godine</w:t>
      </w:r>
    </w:p>
    <w:p w14:paraId="16C2DB3E">
      <w:pPr>
        <w:pStyle w:val="4"/>
        <w:numPr>
          <w:ilvl w:val="0"/>
          <w:numId w:val="2"/>
        </w:numPr>
        <w:tabs>
          <w:tab w:val="left" w:pos="5640"/>
        </w:tabs>
        <w:spacing w:line="240" w:lineRule="auto"/>
        <w:jc w:val="both"/>
        <w:rPr>
          <w:rFonts w:ascii="Arial" w:hAnsi="Arial" w:cs="Arial"/>
          <w:sz w:val="24"/>
          <w:szCs w:val="24"/>
        </w:rPr>
      </w:pPr>
      <w:r>
        <w:rPr>
          <w:rFonts w:ascii="Arial" w:hAnsi="Arial" w:cs="Arial"/>
          <w:sz w:val="24"/>
          <w:szCs w:val="24"/>
        </w:rPr>
        <w:t>Odluka o poništenju predmeta javne nabavke usluga stručnog nadzora nad puštanjem u rad objekta rekonstrukcije TE Pljevlja EPCG 20-00-13308 od 15.10.2025. godine</w:t>
      </w:r>
    </w:p>
    <w:p w14:paraId="756C60FD">
      <w:pPr>
        <w:pStyle w:val="4"/>
        <w:numPr>
          <w:ilvl w:val="0"/>
          <w:numId w:val="2"/>
        </w:numPr>
        <w:tabs>
          <w:tab w:val="left" w:pos="5640"/>
        </w:tabs>
        <w:spacing w:line="240" w:lineRule="auto"/>
        <w:jc w:val="both"/>
        <w:rPr>
          <w:rFonts w:ascii="Arial" w:hAnsi="Arial" w:cs="Arial"/>
          <w:sz w:val="24"/>
          <w:szCs w:val="24"/>
        </w:rPr>
      </w:pPr>
      <w:r>
        <w:rPr>
          <w:rFonts w:ascii="Arial" w:hAnsi="Arial" w:cs="Arial"/>
          <w:sz w:val="24"/>
          <w:szCs w:val="24"/>
        </w:rPr>
        <w:t>Pojašnjenje tenderske dokumentacije broj. 20-00-9082 od 04.08.2025.godine</w:t>
      </w:r>
    </w:p>
    <w:p w14:paraId="1E9A9881">
      <w:pPr>
        <w:pStyle w:val="4"/>
        <w:numPr>
          <w:ilvl w:val="0"/>
          <w:numId w:val="2"/>
        </w:numPr>
        <w:tabs>
          <w:tab w:val="left" w:pos="5640"/>
        </w:tabs>
        <w:spacing w:line="240" w:lineRule="auto"/>
        <w:jc w:val="both"/>
        <w:rPr>
          <w:rFonts w:ascii="Arial" w:hAnsi="Arial" w:cs="Arial"/>
          <w:sz w:val="24"/>
          <w:szCs w:val="24"/>
        </w:rPr>
      </w:pPr>
      <w:r>
        <w:rPr>
          <w:rFonts w:ascii="Arial" w:hAnsi="Arial" w:cs="Arial"/>
          <w:sz w:val="24"/>
          <w:szCs w:val="24"/>
        </w:rPr>
        <w:t>Izmjena tenderske dokumentacije 20-00-9081 od 04.08.2025.godine</w:t>
      </w:r>
    </w:p>
    <w:p w14:paraId="5B651B26">
      <w:pPr>
        <w:tabs>
          <w:tab w:val="left" w:pos="5640"/>
        </w:tabs>
        <w:spacing w:line="240" w:lineRule="auto"/>
        <w:jc w:val="right"/>
        <w:rPr>
          <w:rFonts w:ascii="Arial" w:hAnsi="Arial" w:cs="Arial"/>
          <w:sz w:val="24"/>
          <w:szCs w:val="24"/>
        </w:rPr>
      </w:pPr>
      <w:r>
        <w:rPr>
          <w:rFonts w:ascii="Arial" w:hAnsi="Arial" w:cs="Arial"/>
          <w:sz w:val="24"/>
          <w:szCs w:val="24"/>
        </w:rPr>
        <w:t>PODNOSIOCI PRIJAVE</w:t>
      </w:r>
    </w:p>
    <w:p w14:paraId="30494321">
      <w:pPr>
        <w:pBdr>
          <w:bottom w:val="single" w:color="auto" w:sz="12" w:space="1"/>
        </w:pBdr>
        <w:tabs>
          <w:tab w:val="left" w:pos="5640"/>
        </w:tabs>
        <w:spacing w:line="240" w:lineRule="auto"/>
        <w:jc w:val="right"/>
        <w:rPr>
          <w:rFonts w:ascii="Arial" w:hAnsi="Arial" w:cs="Arial"/>
          <w:sz w:val="24"/>
          <w:szCs w:val="24"/>
        </w:rPr>
      </w:pPr>
      <w:r>
        <w:rPr>
          <w:rFonts w:ascii="Arial" w:hAnsi="Arial" w:cs="Arial"/>
          <w:sz w:val="24"/>
          <w:szCs w:val="24"/>
        </w:rPr>
        <w:t>Rubežić Nenad</w:t>
      </w:r>
    </w:p>
    <w:p w14:paraId="54EFDC98">
      <w:pPr>
        <w:pBdr>
          <w:bottom w:val="single" w:color="auto" w:sz="12" w:space="1"/>
        </w:pBdr>
        <w:tabs>
          <w:tab w:val="left" w:pos="5640"/>
        </w:tabs>
        <w:spacing w:line="240" w:lineRule="auto"/>
        <w:jc w:val="right"/>
        <w:rPr>
          <w:rFonts w:ascii="Arial" w:hAnsi="Arial" w:cs="Arial"/>
          <w:sz w:val="24"/>
          <w:szCs w:val="24"/>
        </w:rPr>
      </w:pPr>
    </w:p>
    <w:p w14:paraId="243A76C9">
      <w:pPr>
        <w:pBdr>
          <w:bottom w:val="single" w:color="auto" w:sz="12" w:space="1"/>
        </w:pBdr>
        <w:tabs>
          <w:tab w:val="left" w:pos="5640"/>
        </w:tabs>
        <w:spacing w:line="240" w:lineRule="auto"/>
        <w:jc w:val="right"/>
        <w:rPr>
          <w:rFonts w:ascii="Arial" w:hAnsi="Arial" w:cs="Arial"/>
          <w:sz w:val="24"/>
          <w:szCs w:val="24"/>
        </w:rPr>
      </w:pPr>
      <w:r>
        <w:rPr>
          <w:rFonts w:ascii="Arial" w:hAnsi="Arial" w:cs="Arial"/>
          <w:sz w:val="24"/>
          <w:szCs w:val="24"/>
        </w:rPr>
        <w:t>Ječmenica Saša</w:t>
      </w:r>
    </w:p>
    <w:p w14:paraId="7A14D77B">
      <w:pPr>
        <w:pBdr>
          <w:bottom w:val="single" w:color="auto" w:sz="12" w:space="1"/>
        </w:pBdr>
        <w:tabs>
          <w:tab w:val="left" w:pos="5640"/>
        </w:tabs>
        <w:spacing w:after="0" w:line="240" w:lineRule="auto"/>
        <w:jc w:val="both"/>
        <w:rPr>
          <w:rFonts w:ascii="Arial" w:hAnsi="Arial" w:cs="Arial"/>
          <w:sz w:val="24"/>
          <w:szCs w:val="24"/>
        </w:rPr>
      </w:pPr>
    </w:p>
    <w:p w14:paraId="2387CE22">
      <w:pPr>
        <w:pBdr>
          <w:bottom w:val="single" w:color="auto" w:sz="12" w:space="1"/>
        </w:pBdr>
        <w:tabs>
          <w:tab w:val="left" w:pos="5640"/>
        </w:tabs>
        <w:spacing w:after="0" w:line="240" w:lineRule="auto"/>
        <w:jc w:val="both"/>
        <w:rPr>
          <w:rFonts w:ascii="Arial" w:hAnsi="Arial" w:cs="Arial"/>
          <w:sz w:val="24"/>
          <w:szCs w:val="24"/>
        </w:rPr>
      </w:pPr>
      <w:r>
        <w:rPr>
          <w:rFonts w:ascii="Arial" w:hAnsi="Arial" w:cs="Arial"/>
          <w:sz w:val="24"/>
          <w:szCs w:val="24"/>
        </w:rPr>
        <w:t>U Pljevljima,</w:t>
      </w:r>
    </w:p>
    <w:p w14:paraId="78AACE67">
      <w:pPr>
        <w:pBdr>
          <w:bottom w:val="single" w:color="auto" w:sz="12" w:space="1"/>
        </w:pBdr>
        <w:tabs>
          <w:tab w:val="left" w:pos="5640"/>
        </w:tabs>
        <w:spacing w:after="0" w:line="240" w:lineRule="auto"/>
        <w:jc w:val="both"/>
        <w:rPr>
          <w:rFonts w:ascii="Arial" w:hAnsi="Arial" w:cs="Arial"/>
          <w:sz w:val="24"/>
          <w:szCs w:val="24"/>
        </w:rPr>
      </w:pPr>
      <w:r>
        <w:rPr>
          <w:rFonts w:ascii="Arial" w:hAnsi="Arial" w:cs="Arial"/>
          <w:sz w:val="24"/>
          <w:szCs w:val="24"/>
        </w:rPr>
        <w:t>18.12.2025.godine</w:t>
      </w:r>
    </w:p>
    <w:p w14:paraId="66BD0919">
      <w:pPr>
        <w:pBdr>
          <w:bottom w:val="single" w:color="auto" w:sz="12" w:space="1"/>
        </w:pBdr>
        <w:tabs>
          <w:tab w:val="left" w:pos="5640"/>
        </w:tabs>
        <w:spacing w:line="240" w:lineRule="auto"/>
        <w:jc w:val="right"/>
        <w:rPr>
          <w:rFonts w:ascii="Arial" w:hAnsi="Arial" w:cs="Arial"/>
          <w:sz w:val="24"/>
          <w:szCs w:val="24"/>
        </w:rPr>
      </w:pPr>
    </w:p>
    <w:p w14:paraId="239EBCFE">
      <w:pPr>
        <w:pBdr>
          <w:bottom w:val="single" w:color="auto" w:sz="12" w:space="1"/>
        </w:pBdr>
        <w:tabs>
          <w:tab w:val="left" w:pos="5640"/>
        </w:tabs>
        <w:spacing w:line="240" w:lineRule="auto"/>
        <w:jc w:val="right"/>
        <w:rPr>
          <w:rFonts w:ascii="Arial" w:hAnsi="Arial" w:cs="Arial"/>
          <w:sz w:val="24"/>
          <w:szCs w:val="24"/>
        </w:rPr>
      </w:pPr>
    </w:p>
    <w:p w14:paraId="341B4ED2">
      <w:pPr>
        <w:tabs>
          <w:tab w:val="left" w:pos="5640"/>
        </w:tabs>
        <w:spacing w:line="240" w:lineRule="auto"/>
        <w:jc w:val="both"/>
        <w:rPr>
          <w:rFonts w:ascii="Arial" w:hAnsi="Arial" w:cs="Arial"/>
          <w:sz w:val="24"/>
          <w:szCs w:val="24"/>
        </w:rPr>
      </w:pPr>
      <w:r>
        <w:rPr>
          <w:rFonts w:ascii="Arial" w:hAnsi="Arial" w:cs="Arial"/>
          <w:sz w:val="24"/>
          <w:szCs w:val="24"/>
        </w:rPr>
        <w:t xml:space="preserve">                                                                                                </w:t>
      </w:r>
    </w:p>
    <w:p w14:paraId="21FB68BE">
      <w:pPr>
        <w:spacing w:line="240" w:lineRule="auto"/>
        <w:rPr>
          <w:rFonts w:ascii="Arial" w:hAnsi="Arial" w:cs="Arial"/>
          <w:sz w:val="24"/>
          <w:szCs w:val="24"/>
        </w:rPr>
      </w:pPr>
      <w:bookmarkStart w:id="0" w:name="_GoBack"/>
      <w:bookmarkEnd w:id="0"/>
    </w:p>
    <w:sectPr>
      <w:pgSz w:w="11906" w:h="16838"/>
      <w:pgMar w:top="850" w:right="1152" w:bottom="1152" w:left="1296" w:header="706" w:footer="706"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EE"/>
    <w:family w:val="swiss"/>
    <w:pitch w:val="default"/>
    <w:sig w:usb0="E0002EFF" w:usb1="C000785B" w:usb2="00000009" w:usb3="00000000" w:csb0="400001FF" w:csb1="FFFF0000"/>
  </w:font>
  <w:font w:name="Courier New">
    <w:panose1 w:val="02070309020205020404"/>
    <w:charset w:val="EE"/>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2573A5"/>
    <w:multiLevelType w:val="multilevel"/>
    <w:tmpl w:val="202573A5"/>
    <w:lvl w:ilvl="0" w:tentative="0">
      <w:start w:val="1"/>
      <w:numFmt w:val="bullet"/>
      <w:lvlText w:val="-"/>
      <w:lvlJc w:val="left"/>
      <w:pPr>
        <w:ind w:left="420" w:hanging="360"/>
      </w:pPr>
      <w:rPr>
        <w:rFonts w:hint="default" w:ascii="Arial" w:hAnsi="Arial" w:cs="Arial" w:eastAsiaTheme="minorHAnsi"/>
      </w:rPr>
    </w:lvl>
    <w:lvl w:ilvl="1" w:tentative="0">
      <w:start w:val="1"/>
      <w:numFmt w:val="bullet"/>
      <w:lvlText w:val="o"/>
      <w:lvlJc w:val="left"/>
      <w:pPr>
        <w:ind w:left="1140" w:hanging="360"/>
      </w:pPr>
      <w:rPr>
        <w:rFonts w:hint="default" w:ascii="Courier New" w:hAnsi="Courier New" w:cs="Courier New"/>
      </w:rPr>
    </w:lvl>
    <w:lvl w:ilvl="2" w:tentative="0">
      <w:start w:val="1"/>
      <w:numFmt w:val="bullet"/>
      <w:lvlText w:val=""/>
      <w:lvlJc w:val="left"/>
      <w:pPr>
        <w:ind w:left="1860" w:hanging="360"/>
      </w:pPr>
      <w:rPr>
        <w:rFonts w:hint="default" w:ascii="Wingdings" w:hAnsi="Wingdings"/>
      </w:rPr>
    </w:lvl>
    <w:lvl w:ilvl="3" w:tentative="0">
      <w:start w:val="1"/>
      <w:numFmt w:val="bullet"/>
      <w:lvlText w:val=""/>
      <w:lvlJc w:val="left"/>
      <w:pPr>
        <w:ind w:left="2580" w:hanging="360"/>
      </w:pPr>
      <w:rPr>
        <w:rFonts w:hint="default" w:ascii="Symbol" w:hAnsi="Symbol"/>
      </w:rPr>
    </w:lvl>
    <w:lvl w:ilvl="4" w:tentative="0">
      <w:start w:val="1"/>
      <w:numFmt w:val="bullet"/>
      <w:lvlText w:val="o"/>
      <w:lvlJc w:val="left"/>
      <w:pPr>
        <w:ind w:left="3300" w:hanging="360"/>
      </w:pPr>
      <w:rPr>
        <w:rFonts w:hint="default" w:ascii="Courier New" w:hAnsi="Courier New" w:cs="Courier New"/>
      </w:rPr>
    </w:lvl>
    <w:lvl w:ilvl="5" w:tentative="0">
      <w:start w:val="1"/>
      <w:numFmt w:val="bullet"/>
      <w:lvlText w:val=""/>
      <w:lvlJc w:val="left"/>
      <w:pPr>
        <w:ind w:left="4020" w:hanging="360"/>
      </w:pPr>
      <w:rPr>
        <w:rFonts w:hint="default" w:ascii="Wingdings" w:hAnsi="Wingdings"/>
      </w:rPr>
    </w:lvl>
    <w:lvl w:ilvl="6" w:tentative="0">
      <w:start w:val="1"/>
      <w:numFmt w:val="bullet"/>
      <w:lvlText w:val=""/>
      <w:lvlJc w:val="left"/>
      <w:pPr>
        <w:ind w:left="4740" w:hanging="360"/>
      </w:pPr>
      <w:rPr>
        <w:rFonts w:hint="default" w:ascii="Symbol" w:hAnsi="Symbol"/>
      </w:rPr>
    </w:lvl>
    <w:lvl w:ilvl="7" w:tentative="0">
      <w:start w:val="1"/>
      <w:numFmt w:val="bullet"/>
      <w:lvlText w:val="o"/>
      <w:lvlJc w:val="left"/>
      <w:pPr>
        <w:ind w:left="5460" w:hanging="360"/>
      </w:pPr>
      <w:rPr>
        <w:rFonts w:hint="default" w:ascii="Courier New" w:hAnsi="Courier New" w:cs="Courier New"/>
      </w:rPr>
    </w:lvl>
    <w:lvl w:ilvl="8" w:tentative="0">
      <w:start w:val="1"/>
      <w:numFmt w:val="bullet"/>
      <w:lvlText w:val=""/>
      <w:lvlJc w:val="left"/>
      <w:pPr>
        <w:ind w:left="6180" w:hanging="360"/>
      </w:pPr>
      <w:rPr>
        <w:rFonts w:hint="default" w:ascii="Wingdings" w:hAnsi="Wingdings"/>
      </w:rPr>
    </w:lvl>
  </w:abstractNum>
  <w:abstractNum w:abstractNumId="1">
    <w:nsid w:val="379A55A1"/>
    <w:multiLevelType w:val="multilevel"/>
    <w:tmpl w:val="379A55A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237"/>
    <w:rsid w:val="0004205C"/>
    <w:rsid w:val="00077F47"/>
    <w:rsid w:val="000A2AC0"/>
    <w:rsid w:val="000F3496"/>
    <w:rsid w:val="001345CB"/>
    <w:rsid w:val="00141A54"/>
    <w:rsid w:val="00153ACD"/>
    <w:rsid w:val="00172430"/>
    <w:rsid w:val="001C385C"/>
    <w:rsid w:val="001D68DE"/>
    <w:rsid w:val="002165B9"/>
    <w:rsid w:val="00236209"/>
    <w:rsid w:val="00236B0F"/>
    <w:rsid w:val="0026347C"/>
    <w:rsid w:val="002A4592"/>
    <w:rsid w:val="002B39A9"/>
    <w:rsid w:val="002B509A"/>
    <w:rsid w:val="002E0159"/>
    <w:rsid w:val="002E0EDB"/>
    <w:rsid w:val="002E436B"/>
    <w:rsid w:val="00304FA8"/>
    <w:rsid w:val="0038140A"/>
    <w:rsid w:val="00392778"/>
    <w:rsid w:val="003A043A"/>
    <w:rsid w:val="003F0C7F"/>
    <w:rsid w:val="004133E0"/>
    <w:rsid w:val="00413985"/>
    <w:rsid w:val="004575FA"/>
    <w:rsid w:val="00465930"/>
    <w:rsid w:val="0052485C"/>
    <w:rsid w:val="005A541F"/>
    <w:rsid w:val="005E113F"/>
    <w:rsid w:val="00687058"/>
    <w:rsid w:val="00691BE4"/>
    <w:rsid w:val="00723412"/>
    <w:rsid w:val="00761B83"/>
    <w:rsid w:val="00772D5A"/>
    <w:rsid w:val="0082738D"/>
    <w:rsid w:val="00833D7F"/>
    <w:rsid w:val="00840811"/>
    <w:rsid w:val="008627F8"/>
    <w:rsid w:val="00864E48"/>
    <w:rsid w:val="00891237"/>
    <w:rsid w:val="008E7E30"/>
    <w:rsid w:val="00964B94"/>
    <w:rsid w:val="00973D92"/>
    <w:rsid w:val="009B7702"/>
    <w:rsid w:val="009E303E"/>
    <w:rsid w:val="00A06E99"/>
    <w:rsid w:val="00A111C2"/>
    <w:rsid w:val="00AD1A37"/>
    <w:rsid w:val="00B40310"/>
    <w:rsid w:val="00B65268"/>
    <w:rsid w:val="00B8618A"/>
    <w:rsid w:val="00CC151E"/>
    <w:rsid w:val="00D00116"/>
    <w:rsid w:val="00D53347"/>
    <w:rsid w:val="00D75B45"/>
    <w:rsid w:val="00D931D3"/>
    <w:rsid w:val="00EA7232"/>
    <w:rsid w:val="00EB352E"/>
    <w:rsid w:val="00ED363E"/>
    <w:rsid w:val="00FC75E8"/>
    <w:rsid w:val="75B41E33"/>
  </w:rsids>
  <m:mathPr>
    <m:mathFont m:val="Cambria Math"/>
    <m:brkBin m:val="before"/>
    <m:brkBinSub m:val="--"/>
    <m:smallFrac m:val="0"/>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1942</Words>
  <Characters>11071</Characters>
  <Lines>92</Lines>
  <Paragraphs>25</Paragraphs>
  <TotalTime>920</TotalTime>
  <ScaleCrop>false</ScaleCrop>
  <LinksUpToDate>false</LinksUpToDate>
  <CharactersWithSpaces>12988</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2025-12-17T17:43:00Z</dcterms:created>
  <dc:creator>lenovo</dc:creator>
  <cp:lastModifiedBy>Dell</cp:lastModifiedBy>
  <cp:lastPrinted>2025-12-18T09:11:21Z</cp:lastPrinted>
  <dcterms:modified xsi:type="dcterms:W3CDTF">2025-12-18T10:10:08Z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1A829D1E94724050B869002C2781A7EC_12</vt:lpwstr>
  </property>
</Properties>
</file>